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36" w:rsidRPr="004272C1" w:rsidRDefault="00CE1A36" w:rsidP="00CE1A36">
      <w:pPr>
        <w:pStyle w:val="berschrift1"/>
        <w:rPr>
          <w:rFonts w:ascii="Myriad Pro" w:hAnsi="Myriad Pro"/>
        </w:rPr>
      </w:pPr>
      <w:bookmarkStart w:id="0" w:name="_Toc258410035"/>
      <w:bookmarkStart w:id="1" w:name="_Toc258410107"/>
      <w:bookmarkStart w:id="2" w:name="_Toc258410108"/>
      <w:bookmarkStart w:id="3" w:name="_Ref261691655"/>
      <w:bookmarkStart w:id="4" w:name="_Toc380654396"/>
      <w:r w:rsidRPr="004272C1">
        <w:rPr>
          <w:rFonts w:ascii="Myriad Pro" w:hAnsi="Myriad Pro"/>
        </w:rPr>
        <w:t>Vorbemerkungen für die Ausschreibung</w:t>
      </w:r>
      <w:bookmarkEnd w:id="0"/>
      <w:bookmarkEnd w:id="1"/>
      <w:bookmarkEnd w:id="2"/>
      <w:bookmarkEnd w:id="3"/>
      <w:r w:rsidRPr="004272C1">
        <w:rPr>
          <w:rFonts w:ascii="Myriad Pro" w:hAnsi="Myriad Pro"/>
        </w:rPr>
        <w:t xml:space="preserve"> von Entwässerungssystemen aus Steinzeug</w:t>
      </w:r>
      <w:bookmarkEnd w:id="4"/>
    </w:p>
    <w:p w:rsidR="00CE1A36" w:rsidRPr="004272C1" w:rsidRDefault="00CE1A36" w:rsidP="00CE1A36">
      <w:pPr>
        <w:pStyle w:val="berschrift2"/>
        <w:rPr>
          <w:rFonts w:ascii="Myriad Pro" w:hAnsi="Myriad Pro"/>
        </w:rPr>
      </w:pPr>
      <w:bookmarkStart w:id="5" w:name="_Toc258410036"/>
      <w:bookmarkStart w:id="6" w:name="_Toc258410109"/>
      <w:bookmarkStart w:id="7" w:name="_Toc380654397"/>
      <w:r w:rsidRPr="004272C1">
        <w:rPr>
          <w:rFonts w:ascii="Myriad Pro" w:hAnsi="Myriad Pro"/>
        </w:rPr>
        <w:t>Angebotswertung</w:t>
      </w:r>
      <w:bookmarkEnd w:id="5"/>
      <w:bookmarkEnd w:id="6"/>
      <w:bookmarkEnd w:id="7"/>
    </w:p>
    <w:p w:rsidR="00CE1A36" w:rsidRPr="004272C1" w:rsidRDefault="00CE1A36" w:rsidP="00CE1A36">
      <w:pPr>
        <w:pStyle w:val="FormatvorlageArial"/>
        <w:rPr>
          <w:rFonts w:ascii="Myriad Pro" w:hAnsi="Myriad Pro"/>
        </w:rPr>
      </w:pPr>
      <w:r w:rsidRPr="004272C1">
        <w:rPr>
          <w:rFonts w:ascii="Myriad Pro" w:hAnsi="Myriad Pro"/>
        </w:rPr>
        <w:t>Die Angebotserteilung erfolgt unter Beachtung aller Kriterien entsprechend VOB / A Ausgabe 2009 § 16  Abs. (6) Nr. 3:</w:t>
      </w:r>
    </w:p>
    <w:p w:rsidR="00CE1A36" w:rsidRPr="004272C1" w:rsidRDefault="00CE1A36" w:rsidP="00CE1A36">
      <w:pPr>
        <w:pStyle w:val="FormatvorlageArial"/>
        <w:rPr>
          <w:rFonts w:ascii="Myriad Pro" w:hAnsi="Myriad Pro"/>
          <w:i/>
          <w:sz w:val="22"/>
          <w:szCs w:val="22"/>
        </w:rPr>
      </w:pPr>
      <w:r w:rsidRPr="004272C1">
        <w:rPr>
          <w:rFonts w:ascii="Myriad Pro" w:hAnsi="Myriad Pro"/>
          <w:i/>
          <w:sz w:val="22"/>
          <w:szCs w:val="22"/>
        </w:rPr>
        <w:t>„In die engere Wahl kommen nur solche Angebote, die unter Berücksichtigung rationellen Baubetriebs und sparsamer Wirtschaftsführung eine einwandfreie Ausführung einschließlich Haftung für Mangelansprüche erwarten lassen. Unter diesen Angeboten soll der Zuschlag auf das Angebot erteilt werden, das unter Berücksichtigung aller Gesichtspunkte wie z.B. Qualität, Preis, technischer Wert, Ästhetik, Zweckmäßigkeit, Umwelteigenschaften, Betriebs- und Folgekosten, Rentabilität, Kundendienst und technische Hilfe oder Ausführungsfrist als das wirtschaftlichste erscheint. Der niedrigste Angebotspreis ist nicht allein entscheidend.“</w:t>
      </w:r>
      <w:r w:rsidR="00E60CC0" w:rsidRPr="004272C1">
        <w:rPr>
          <w:rFonts w:ascii="Myriad Pro" w:hAnsi="Myriad Pro"/>
          <w:b/>
          <w:noProof/>
        </w:rPr>
        <w:t xml:space="preserve"> </w:t>
      </w:r>
    </w:p>
    <w:p w:rsidR="00CE1A36" w:rsidRPr="004272C1" w:rsidRDefault="00CE1A36" w:rsidP="00CE1A36">
      <w:pPr>
        <w:pStyle w:val="berschrift2"/>
        <w:rPr>
          <w:rFonts w:ascii="Myriad Pro" w:hAnsi="Myriad Pro"/>
        </w:rPr>
      </w:pPr>
      <w:bookmarkStart w:id="8" w:name="_Toc258410037"/>
      <w:bookmarkStart w:id="9" w:name="_Toc258410110"/>
      <w:bookmarkStart w:id="10" w:name="_Toc380654398"/>
      <w:r w:rsidRPr="004272C1">
        <w:rPr>
          <w:rFonts w:ascii="Myriad Pro" w:hAnsi="Myriad Pro"/>
        </w:rPr>
        <w:t>Grundsätzliche Anforderungen</w:t>
      </w:r>
      <w:bookmarkEnd w:id="8"/>
      <w:bookmarkEnd w:id="9"/>
      <w:bookmarkEnd w:id="10"/>
    </w:p>
    <w:p w:rsidR="00CE1A36" w:rsidRPr="004272C1" w:rsidRDefault="00CE1A36" w:rsidP="00CE1A36">
      <w:pPr>
        <w:pStyle w:val="FormatvorlageArial"/>
        <w:rPr>
          <w:rFonts w:ascii="Myriad Pro" w:hAnsi="Myriad Pro"/>
        </w:rPr>
      </w:pPr>
      <w:r w:rsidRPr="004272C1">
        <w:rPr>
          <w:rFonts w:ascii="Myriad Pro" w:hAnsi="Myriad Pro"/>
        </w:rPr>
        <w:t>Folgende Kriterien sind aufgrund der planerischen- und betrieblichen Anforderungen insbesondere im Hinblick auf die vorgesehene Nutzungsdauer der abwassertechnischen Anlage, Basis der Ausschreibung:</w:t>
      </w:r>
    </w:p>
    <w:p w:rsidR="00CE1A36" w:rsidRPr="004272C1" w:rsidRDefault="00CE1A36" w:rsidP="00DD5033">
      <w:pPr>
        <w:pStyle w:val="berschrift3"/>
        <w:numPr>
          <w:ilvl w:val="0"/>
          <w:numId w:val="1"/>
        </w:numPr>
        <w:rPr>
          <w:rFonts w:ascii="Myriad Pro" w:hAnsi="Myriad Pro"/>
          <w:b w:val="0"/>
          <w:sz w:val="24"/>
          <w:szCs w:val="24"/>
        </w:rPr>
      </w:pPr>
      <w:bookmarkStart w:id="11" w:name="_Toc380654399"/>
      <w:r w:rsidRPr="004272C1">
        <w:rPr>
          <w:rFonts w:ascii="Myriad Pro" w:hAnsi="Myriad Pro"/>
          <w:b w:val="0"/>
          <w:sz w:val="24"/>
          <w:szCs w:val="24"/>
        </w:rPr>
        <w:t>Chemische Resistenz</w:t>
      </w:r>
      <w:bookmarkEnd w:id="11"/>
      <w:r w:rsidRPr="004272C1">
        <w:rPr>
          <w:rFonts w:ascii="Myriad Pro" w:hAnsi="Myriad Pro"/>
          <w:b w:val="0"/>
          <w:sz w:val="24"/>
          <w:szCs w:val="24"/>
        </w:rPr>
        <w:br/>
      </w:r>
      <w:r w:rsidRPr="004272C1">
        <w:rPr>
          <w:rFonts w:ascii="Myriad Pro" w:hAnsi="Myriad Pro"/>
          <w:b w:val="0"/>
          <w:sz w:val="24"/>
          <w:szCs w:val="24"/>
        </w:rPr>
        <w:t>Das verwendete Material des Kanals und der Dichtungen muss gegenüber einem pH-Wert von 0-14 beständig sein, da die Spezifikation des Abwassers aufgrund eventuell veränderter Nutzung bzw. späterer Veränderung/ Ergänzung des Kanals nicht über die gesamte Nutzungsdauer vorhersehbar ist.</w:t>
      </w:r>
    </w:p>
    <w:p w:rsidR="00CE1A36" w:rsidRPr="004272C1" w:rsidRDefault="00CE1A36" w:rsidP="00F0246A">
      <w:pPr>
        <w:pStyle w:val="berschrift3"/>
        <w:numPr>
          <w:ilvl w:val="0"/>
          <w:numId w:val="1"/>
        </w:numPr>
        <w:rPr>
          <w:rFonts w:ascii="Myriad Pro" w:hAnsi="Myriad Pro"/>
          <w:b w:val="0"/>
          <w:sz w:val="24"/>
          <w:szCs w:val="24"/>
        </w:rPr>
      </w:pPr>
      <w:bookmarkStart w:id="12" w:name="_Toc380654400"/>
      <w:r w:rsidRPr="004272C1">
        <w:rPr>
          <w:rFonts w:ascii="Myriad Pro" w:hAnsi="Myriad Pro"/>
          <w:b w:val="0"/>
          <w:sz w:val="24"/>
          <w:szCs w:val="24"/>
        </w:rPr>
        <w:t>Hochdruckspülsicherheit</w:t>
      </w:r>
      <w:bookmarkEnd w:id="12"/>
      <w:r w:rsidRPr="004272C1">
        <w:rPr>
          <w:rFonts w:ascii="Myriad Pro" w:hAnsi="Myriad Pro"/>
          <w:b w:val="0"/>
          <w:sz w:val="24"/>
          <w:szCs w:val="24"/>
        </w:rPr>
        <w:br/>
      </w:r>
      <w:r w:rsidRPr="004272C1">
        <w:rPr>
          <w:rFonts w:ascii="Myriad Pro" w:hAnsi="Myriad Pro"/>
          <w:b w:val="0"/>
          <w:sz w:val="24"/>
          <w:szCs w:val="24"/>
        </w:rPr>
        <w:t xml:space="preserve">Die angebotenen Produkte müssen gegenüber Hochdruckspülvorgängen resistent sein, um den hohen Inspektions- und Wartungsanforderungen gerecht zu werden. Der Auftraggeber kann den Nachweis des Materials bezüglich der Hochdruck-Spülfestigkeit gem. DIN V 19517 für den </w:t>
      </w:r>
      <w:proofErr w:type="spellStart"/>
      <w:r w:rsidRPr="004272C1">
        <w:rPr>
          <w:rFonts w:ascii="Myriad Pro" w:hAnsi="Myriad Pro"/>
          <w:b w:val="0"/>
          <w:sz w:val="24"/>
          <w:szCs w:val="24"/>
        </w:rPr>
        <w:t>Moving</w:t>
      </w:r>
      <w:proofErr w:type="spellEnd"/>
      <w:r w:rsidRPr="004272C1">
        <w:rPr>
          <w:rFonts w:ascii="Myriad Pro" w:hAnsi="Myriad Pro"/>
          <w:b w:val="0"/>
          <w:sz w:val="24"/>
          <w:szCs w:val="24"/>
        </w:rPr>
        <w:t xml:space="preserve">- Test (120/150bar) sowie den </w:t>
      </w:r>
      <w:proofErr w:type="spellStart"/>
      <w:r w:rsidRPr="004272C1">
        <w:rPr>
          <w:rFonts w:ascii="Myriad Pro" w:hAnsi="Myriad Pro"/>
          <w:b w:val="0"/>
          <w:sz w:val="24"/>
          <w:szCs w:val="24"/>
        </w:rPr>
        <w:t>Stationary</w:t>
      </w:r>
      <w:proofErr w:type="spellEnd"/>
      <w:r w:rsidRPr="004272C1">
        <w:rPr>
          <w:rFonts w:ascii="Myriad Pro" w:hAnsi="Myriad Pro"/>
          <w:b w:val="0"/>
          <w:sz w:val="24"/>
          <w:szCs w:val="24"/>
        </w:rPr>
        <w:t>- Test (340bar) fordern.</w:t>
      </w:r>
    </w:p>
    <w:p w:rsidR="00CE1A36" w:rsidRPr="004272C1" w:rsidRDefault="00CE1A36" w:rsidP="00D46AF6">
      <w:pPr>
        <w:pStyle w:val="berschrift3"/>
        <w:numPr>
          <w:ilvl w:val="0"/>
          <w:numId w:val="1"/>
        </w:numPr>
        <w:rPr>
          <w:rFonts w:ascii="Myriad Pro" w:hAnsi="Myriad Pro"/>
          <w:b w:val="0"/>
          <w:sz w:val="24"/>
          <w:szCs w:val="24"/>
        </w:rPr>
      </w:pPr>
      <w:bookmarkStart w:id="13" w:name="_Toc380654401"/>
      <w:r w:rsidRPr="004272C1">
        <w:rPr>
          <w:rFonts w:ascii="Myriad Pro" w:hAnsi="Myriad Pro"/>
          <w:b w:val="0"/>
          <w:sz w:val="24"/>
          <w:szCs w:val="24"/>
        </w:rPr>
        <w:t>Nachhaltigkeit</w:t>
      </w:r>
      <w:bookmarkEnd w:id="13"/>
      <w:r w:rsidRPr="004272C1">
        <w:rPr>
          <w:rFonts w:ascii="Myriad Pro" w:hAnsi="Myriad Pro"/>
          <w:b w:val="0"/>
          <w:sz w:val="24"/>
          <w:szCs w:val="24"/>
        </w:rPr>
        <w:br/>
      </w:r>
      <w:r w:rsidRPr="004272C1">
        <w:rPr>
          <w:rFonts w:ascii="Myriad Pro" w:hAnsi="Myriad Pro"/>
          <w:b w:val="0"/>
          <w:sz w:val="24"/>
          <w:szCs w:val="24"/>
        </w:rPr>
        <w:t xml:space="preserve">Die Entscheidung für den Werkstoff Steinzeug basiert neben technischen- und wirtschaftlichen- auf ökologischen Kriterien. Steinzeug ist ein Naturprodukt  mit anerkannt günstiger Energie- und CO2-Bilanz im Hinblick auf die Rohstoffgewinnung, Produktion und Transport. </w:t>
      </w:r>
    </w:p>
    <w:p w:rsidR="00CE1A36" w:rsidRPr="004272C1" w:rsidRDefault="00CE1A36" w:rsidP="001A3835">
      <w:pPr>
        <w:pStyle w:val="berschrift3"/>
        <w:numPr>
          <w:ilvl w:val="0"/>
          <w:numId w:val="1"/>
        </w:numPr>
        <w:rPr>
          <w:rFonts w:ascii="Myriad Pro" w:hAnsi="Myriad Pro"/>
          <w:b w:val="0"/>
          <w:sz w:val="24"/>
          <w:szCs w:val="24"/>
        </w:rPr>
      </w:pPr>
      <w:bookmarkStart w:id="14" w:name="_Toc380654402"/>
      <w:r w:rsidRPr="004272C1">
        <w:rPr>
          <w:rFonts w:ascii="Myriad Pro" w:hAnsi="Myriad Pro"/>
          <w:b w:val="0"/>
          <w:sz w:val="24"/>
          <w:szCs w:val="24"/>
        </w:rPr>
        <w:t>Hydraulische Anforderungen</w:t>
      </w:r>
      <w:bookmarkEnd w:id="14"/>
      <w:r w:rsidRPr="004272C1">
        <w:rPr>
          <w:rFonts w:ascii="Myriad Pro" w:hAnsi="Myriad Pro"/>
          <w:b w:val="0"/>
          <w:sz w:val="24"/>
          <w:szCs w:val="24"/>
        </w:rPr>
        <w:br/>
      </w:r>
      <w:r w:rsidRPr="004272C1">
        <w:rPr>
          <w:rFonts w:ascii="Myriad Pro" w:hAnsi="Myriad Pro"/>
          <w:b w:val="0"/>
          <w:sz w:val="24"/>
          <w:szCs w:val="24"/>
        </w:rPr>
        <w:t xml:space="preserve">Um die hydraulische Leistungsfähigkeit des geplanten Entwässerungssystems über die betriebsgewöhnliche Nutzungsdauer zu realisieren, sind Kanalquerschnittsreduzierungen bezogen auf das Verhältnis von Nenn- zu Innendurchmesser von mehr als 3% von der Angebotswertung auszuschließen. </w:t>
      </w:r>
      <w:bookmarkStart w:id="15" w:name="_GoBack"/>
      <w:bookmarkEnd w:id="15"/>
    </w:p>
    <w:p w:rsidR="00CE1A36" w:rsidRPr="004272C1" w:rsidRDefault="00CE1A36" w:rsidP="00CE1A36">
      <w:pPr>
        <w:pStyle w:val="berschrift3"/>
        <w:numPr>
          <w:ilvl w:val="0"/>
          <w:numId w:val="1"/>
        </w:numPr>
        <w:rPr>
          <w:rFonts w:ascii="Myriad Pro" w:hAnsi="Myriad Pro"/>
          <w:b w:val="0"/>
          <w:sz w:val="24"/>
          <w:szCs w:val="24"/>
        </w:rPr>
      </w:pPr>
      <w:bookmarkStart w:id="16" w:name="_Toc270945026"/>
      <w:bookmarkStart w:id="17" w:name="_Toc380654403"/>
      <w:r w:rsidRPr="004272C1">
        <w:rPr>
          <w:rFonts w:ascii="Myriad Pro" w:hAnsi="Myriad Pro"/>
          <w:b w:val="0"/>
          <w:sz w:val="24"/>
          <w:szCs w:val="24"/>
        </w:rPr>
        <w:t>Einbau</w:t>
      </w:r>
      <w:bookmarkEnd w:id="16"/>
      <w:bookmarkEnd w:id="17"/>
      <w:r w:rsidRPr="004272C1">
        <w:rPr>
          <w:rFonts w:ascii="Myriad Pro" w:hAnsi="Myriad Pro"/>
          <w:b w:val="0"/>
          <w:sz w:val="24"/>
          <w:szCs w:val="24"/>
        </w:rPr>
        <w:br/>
      </w:r>
      <w:r w:rsidRPr="004272C1">
        <w:rPr>
          <w:rFonts w:ascii="Myriad Pro" w:hAnsi="Myriad Pro"/>
          <w:b w:val="0"/>
          <w:sz w:val="24"/>
          <w:szCs w:val="24"/>
        </w:rPr>
        <w:t xml:space="preserve">Ausführung gem. DWA-A 241. Für den Einsatz in Trinkwassergewinnungsgebieten (Trinkwasserschutzzone II) ist zusätzlich das DWA Arbeitsblatt A 142 zu beachten. </w:t>
      </w:r>
      <w:r w:rsidRPr="004272C1">
        <w:rPr>
          <w:rFonts w:ascii="Myriad Pro" w:hAnsi="Myriad Pro"/>
          <w:b w:val="0"/>
          <w:sz w:val="24"/>
          <w:szCs w:val="24"/>
        </w:rPr>
        <w:lastRenderedPageBreak/>
        <w:t>Eine entsprechende Dichtheitsprüfung am Strang (2,4bar) ist vom Hersteller einzufordern.</w:t>
      </w:r>
    </w:p>
    <w:p w:rsidR="00CE1A36" w:rsidRPr="004272C1" w:rsidRDefault="00CE1A36" w:rsidP="00CE1A36">
      <w:pPr>
        <w:pStyle w:val="berschrift2"/>
        <w:rPr>
          <w:rFonts w:ascii="Myriad Pro" w:hAnsi="Myriad Pro"/>
        </w:rPr>
      </w:pPr>
      <w:bookmarkStart w:id="18" w:name="_Toc258410038"/>
      <w:bookmarkStart w:id="19" w:name="_Toc258410111"/>
      <w:bookmarkStart w:id="20" w:name="_Toc380654404"/>
      <w:r w:rsidRPr="004272C1">
        <w:rPr>
          <w:rFonts w:ascii="Myriad Pro" w:hAnsi="Myriad Pro"/>
        </w:rPr>
        <w:t>Nebenangebote</w:t>
      </w:r>
      <w:bookmarkEnd w:id="18"/>
      <w:bookmarkEnd w:id="19"/>
      <w:bookmarkEnd w:id="20"/>
    </w:p>
    <w:p w:rsidR="00CE1A36" w:rsidRPr="004272C1" w:rsidRDefault="00CE1A36" w:rsidP="00CE1A36">
      <w:pPr>
        <w:pStyle w:val="FormatvorlageArial"/>
        <w:rPr>
          <w:rFonts w:ascii="Myriad Pro" w:hAnsi="Myriad Pro"/>
          <w:bCs/>
        </w:rPr>
      </w:pPr>
      <w:r w:rsidRPr="004272C1">
        <w:rPr>
          <w:rFonts w:ascii="Myriad Pro" w:hAnsi="Myriad Pro"/>
          <w:bCs/>
        </w:rPr>
        <w:t>Nebenangebote können in der Bekanntmachung oder Ausschreibung ausgeschlossen werden.</w:t>
      </w:r>
    </w:p>
    <w:p w:rsidR="00CE1A36" w:rsidRPr="004272C1" w:rsidRDefault="00CE1A36" w:rsidP="00CE1A36">
      <w:pPr>
        <w:pStyle w:val="FormatvorlageArial"/>
        <w:rPr>
          <w:rFonts w:ascii="Myriad Pro" w:hAnsi="Myriad Pro"/>
        </w:rPr>
      </w:pPr>
      <w:r w:rsidRPr="004272C1">
        <w:rPr>
          <w:rFonts w:ascii="Myriad Pro" w:hAnsi="Myriad Pro"/>
        </w:rPr>
        <w:t xml:space="preserve">Werden Nebenangebote zugelassen, so ist </w:t>
      </w:r>
      <w:r w:rsidRPr="004272C1">
        <w:rPr>
          <w:rFonts w:ascii="Myriad Pro" w:hAnsi="Myriad Pro"/>
          <w:i/>
        </w:rPr>
        <w:t>zeitgleich zur Submission</w:t>
      </w:r>
      <w:r w:rsidRPr="004272C1">
        <w:rPr>
          <w:rFonts w:ascii="Myriad Pro" w:hAnsi="Myriad Pro"/>
        </w:rPr>
        <w:t xml:space="preserve"> die Gleichwertigkeit eines Neben- bzw. Alternativangebotes analog zu den Positionen des Hauptangebotes schriftlich nachzuweisen. Dies bedingt die Vorlage eines statischen Nachweises in Form einer geprüften statischen Berechnung nach ATV-A 127. Andernfalls kann das Neben- bzw. Alternativangebot nicht gewertet werden, da keine Möglichkeit zur Gleichwertigkeitsprüfung besteht.</w:t>
      </w:r>
    </w:p>
    <w:p w:rsidR="00CE1A36" w:rsidRPr="004272C1" w:rsidRDefault="00CE1A36" w:rsidP="00CE1A36">
      <w:pPr>
        <w:pStyle w:val="FormatvorlageArial"/>
        <w:rPr>
          <w:rFonts w:ascii="Myriad Pro" w:hAnsi="Myriad Pro"/>
        </w:rPr>
      </w:pPr>
      <w:r w:rsidRPr="004272C1">
        <w:rPr>
          <w:rFonts w:ascii="Myriad Pro" w:hAnsi="Myriad Pro"/>
        </w:rPr>
        <w:t xml:space="preserve">Für Neben- bzw. Alternativangebote mit biegeweichen Rohren gem. Definition ATV-A 127 gilt als Abnahmeprüfung nach Verfüllung und Rückbau des </w:t>
      </w:r>
      <w:proofErr w:type="spellStart"/>
      <w:r w:rsidRPr="004272C1">
        <w:rPr>
          <w:rFonts w:ascii="Myriad Pro" w:hAnsi="Myriad Pro"/>
        </w:rPr>
        <w:t>Verbaus</w:t>
      </w:r>
      <w:proofErr w:type="spellEnd"/>
      <w:r w:rsidRPr="004272C1">
        <w:rPr>
          <w:rFonts w:ascii="Myriad Pro" w:hAnsi="Myriad Pro"/>
        </w:rPr>
        <w:t xml:space="preserve"> der Verformungsnachweis gem. DIN EN 1610 und ATV-A 127.</w:t>
      </w:r>
    </w:p>
    <w:p w:rsidR="00CE1A36" w:rsidRPr="004272C1" w:rsidRDefault="00CE1A36" w:rsidP="00CE1A36">
      <w:pPr>
        <w:pStyle w:val="FormatvorlageArial"/>
        <w:rPr>
          <w:rFonts w:ascii="Myriad Pro" w:hAnsi="Myriad Pro"/>
        </w:rPr>
      </w:pPr>
      <w:r w:rsidRPr="004272C1">
        <w:rPr>
          <w:rFonts w:ascii="Myriad Pro" w:hAnsi="Myriad Pro"/>
        </w:rPr>
        <w:t xml:space="preserve">Für den Kurzzeitnachweis darf eine Durchmesseränderung von 4% bei der Erstabnahme und bei der Gewährleistungsabnahme als Langzeitverformungsnachweis eine Durchmesseränderung von 6% nicht überschritten werden. </w:t>
      </w:r>
    </w:p>
    <w:p w:rsidR="00CE1A36" w:rsidRPr="004272C1" w:rsidRDefault="00CE1A36" w:rsidP="00CE1A36">
      <w:pPr>
        <w:pStyle w:val="FormatvorlageArial"/>
        <w:rPr>
          <w:rFonts w:ascii="Myriad Pro" w:hAnsi="Myriad Pro"/>
        </w:rPr>
      </w:pPr>
      <w:r w:rsidRPr="004272C1">
        <w:rPr>
          <w:rFonts w:ascii="Myriad Pro" w:hAnsi="Myriad Pro"/>
        </w:rPr>
        <w:t>Im inneren Druckbereich von Eisenbahnverkehrslasten ist eine Deformation von maximal 2% nachzuweisen!</w:t>
      </w:r>
    </w:p>
    <w:p w:rsidR="00CE1A36" w:rsidRPr="004272C1" w:rsidRDefault="00CE1A36" w:rsidP="00CE1A36">
      <w:pPr>
        <w:pStyle w:val="FormatvorlageArial"/>
        <w:rPr>
          <w:rFonts w:ascii="Myriad Pro" w:hAnsi="Myriad Pro"/>
        </w:rPr>
      </w:pPr>
      <w:r w:rsidRPr="004272C1">
        <w:rPr>
          <w:rFonts w:ascii="Myriad Pro" w:hAnsi="Myriad Pro"/>
        </w:rPr>
        <w:t>Sollten biegeweiche Rohre angeboten werden, so ist die Position „Verformungsnachweis“ 2x im An</w:t>
      </w:r>
      <w:r w:rsidR="004272C1" w:rsidRPr="004272C1">
        <w:rPr>
          <w:rFonts w:ascii="Myriad Pro" w:hAnsi="Myriad Pro"/>
        </w:rPr>
        <w:t xml:space="preserve">gebot kostenmäßig aufzuführen. </w:t>
      </w:r>
      <w:r w:rsidRPr="004272C1">
        <w:rPr>
          <w:rFonts w:ascii="Myriad Pro" w:hAnsi="Myriad Pro"/>
        </w:rPr>
        <w:t xml:space="preserve">Dafür sind die Messmethode und das für die Messung beauftragte Unternehmen zu benennen. </w:t>
      </w:r>
    </w:p>
    <w:p w:rsidR="00CE1A36" w:rsidRPr="004272C1" w:rsidRDefault="00CE1A36" w:rsidP="00CE1A36">
      <w:pPr>
        <w:pStyle w:val="FormatvorlageArial"/>
        <w:rPr>
          <w:rFonts w:ascii="Myriad Pro" w:hAnsi="Myriad Pro"/>
        </w:rPr>
      </w:pPr>
      <w:r w:rsidRPr="004272C1">
        <w:rPr>
          <w:rFonts w:ascii="Myriad Pro" w:hAnsi="Myriad Pro"/>
        </w:rPr>
        <w:t>Die Beauftragung der Deformationsmessung hat letztlich unabhängig vom Auftragnehmer zu erfolgen!</w:t>
      </w:r>
    </w:p>
    <w:sectPr w:rsidR="00CE1A36" w:rsidRPr="004272C1" w:rsidSect="004272C1">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2B1" w:rsidRDefault="001642B1" w:rsidP="00E60CC0">
      <w:pPr>
        <w:spacing w:after="0" w:line="240" w:lineRule="auto"/>
      </w:pPr>
      <w:r>
        <w:separator/>
      </w:r>
    </w:p>
  </w:endnote>
  <w:endnote w:type="continuationSeparator" w:id="0">
    <w:p w:rsidR="001642B1" w:rsidRDefault="001642B1" w:rsidP="00E6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2B1" w:rsidRDefault="001642B1" w:rsidP="00E60CC0">
      <w:pPr>
        <w:spacing w:after="0" w:line="240" w:lineRule="auto"/>
      </w:pPr>
      <w:r>
        <w:separator/>
      </w:r>
    </w:p>
  </w:footnote>
  <w:footnote w:type="continuationSeparator" w:id="0">
    <w:p w:rsidR="001642B1" w:rsidRDefault="001642B1" w:rsidP="00E60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C0" w:rsidRDefault="00E60CC0">
    <w:pPr>
      <w:pStyle w:val="Kopfzeile"/>
    </w:pPr>
    <w:r>
      <w:rPr>
        <w:rFonts w:ascii="Verdana" w:hAnsi="Verdana"/>
        <w:b/>
        <w:noProof/>
      </w:rPr>
      <w:drawing>
        <wp:anchor distT="0" distB="0" distL="114300" distR="114300" simplePos="0" relativeHeight="251659264" behindDoc="0" locked="0" layoutInCell="1" allowOverlap="1" wp14:anchorId="614D6D61" wp14:editId="726A1A45">
          <wp:simplePos x="0" y="0"/>
          <wp:positionH relativeFrom="column">
            <wp:posOffset>5251450</wp:posOffset>
          </wp:positionH>
          <wp:positionV relativeFrom="paragraph">
            <wp:posOffset>-286385</wp:posOffset>
          </wp:positionV>
          <wp:extent cx="1278000" cy="6120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 SWEILL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0402A"/>
    <w:multiLevelType w:val="hybridMultilevel"/>
    <w:tmpl w:val="7B62D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36"/>
    <w:rsid w:val="00035412"/>
    <w:rsid w:val="001642B1"/>
    <w:rsid w:val="004272C1"/>
    <w:rsid w:val="00CE1A36"/>
    <w:rsid w:val="00E60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DD577-3DF5-4A37-824B-0EB607D8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CE1A36"/>
    <w:pPr>
      <w:keepNext/>
      <w:spacing w:after="0" w:line="240" w:lineRule="auto"/>
      <w:outlineLvl w:val="0"/>
    </w:pPr>
    <w:rPr>
      <w:rFonts w:ascii="Arial" w:eastAsia="Times New Roman" w:hAnsi="Arial" w:cs="Arial"/>
      <w:b/>
      <w:bCs/>
      <w:sz w:val="32"/>
      <w:szCs w:val="24"/>
      <w:lang w:eastAsia="de-DE"/>
    </w:rPr>
  </w:style>
  <w:style w:type="paragraph" w:styleId="berschrift2">
    <w:name w:val="heading 2"/>
    <w:basedOn w:val="Standard"/>
    <w:next w:val="Standard"/>
    <w:link w:val="berschrift2Zchn"/>
    <w:qFormat/>
    <w:rsid w:val="00CE1A36"/>
    <w:pPr>
      <w:keepNext/>
      <w:spacing w:before="360" w:after="180" w:line="240" w:lineRule="auto"/>
      <w:outlineLvl w:val="1"/>
    </w:pPr>
    <w:rPr>
      <w:rFonts w:ascii="Arial" w:eastAsia="Times New Roman" w:hAnsi="Arial" w:cs="Arial"/>
      <w:b/>
      <w:bCs/>
      <w:iCs/>
      <w:sz w:val="28"/>
      <w:szCs w:val="28"/>
      <w:lang w:eastAsia="de-DE"/>
    </w:rPr>
  </w:style>
  <w:style w:type="paragraph" w:styleId="berschrift3">
    <w:name w:val="heading 3"/>
    <w:basedOn w:val="Standard"/>
    <w:next w:val="Standard"/>
    <w:link w:val="berschrift3Zchn"/>
    <w:qFormat/>
    <w:rsid w:val="00CE1A36"/>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1A36"/>
    <w:rPr>
      <w:rFonts w:ascii="Arial" w:eastAsia="Times New Roman" w:hAnsi="Arial" w:cs="Arial"/>
      <w:b/>
      <w:bCs/>
      <w:sz w:val="32"/>
      <w:szCs w:val="24"/>
      <w:lang w:eastAsia="de-DE"/>
    </w:rPr>
  </w:style>
  <w:style w:type="character" w:customStyle="1" w:styleId="berschrift2Zchn">
    <w:name w:val="Überschrift 2 Zchn"/>
    <w:basedOn w:val="Absatz-Standardschriftart"/>
    <w:link w:val="berschrift2"/>
    <w:rsid w:val="00CE1A36"/>
    <w:rPr>
      <w:rFonts w:ascii="Arial" w:eastAsia="Times New Roman" w:hAnsi="Arial" w:cs="Arial"/>
      <w:b/>
      <w:bCs/>
      <w:iCs/>
      <w:sz w:val="28"/>
      <w:szCs w:val="28"/>
      <w:lang w:eastAsia="de-DE"/>
    </w:rPr>
  </w:style>
  <w:style w:type="character" w:customStyle="1" w:styleId="berschrift3Zchn">
    <w:name w:val="Überschrift 3 Zchn"/>
    <w:basedOn w:val="Absatz-Standardschriftart"/>
    <w:link w:val="berschrift3"/>
    <w:rsid w:val="00CE1A36"/>
    <w:rPr>
      <w:rFonts w:ascii="Arial" w:eastAsia="Times New Roman" w:hAnsi="Arial" w:cs="Arial"/>
      <w:b/>
      <w:bCs/>
      <w:sz w:val="26"/>
      <w:szCs w:val="26"/>
      <w:lang w:eastAsia="de-DE"/>
    </w:rPr>
  </w:style>
  <w:style w:type="paragraph" w:customStyle="1" w:styleId="FormatvorlageArial">
    <w:name w:val="Formatvorlage Arial"/>
    <w:basedOn w:val="Standard"/>
    <w:link w:val="FormatvorlageArialZchn"/>
    <w:rsid w:val="00CE1A36"/>
    <w:pPr>
      <w:spacing w:before="120" w:after="120" w:line="240" w:lineRule="auto"/>
    </w:pPr>
    <w:rPr>
      <w:rFonts w:ascii="Arial" w:eastAsia="Times New Roman" w:hAnsi="Arial" w:cs="Arial"/>
      <w:sz w:val="24"/>
      <w:szCs w:val="24"/>
      <w:lang w:eastAsia="de-DE"/>
    </w:rPr>
  </w:style>
  <w:style w:type="character" w:customStyle="1" w:styleId="FormatvorlageArialZchn">
    <w:name w:val="Formatvorlage Arial Zchn"/>
    <w:link w:val="FormatvorlageArial"/>
    <w:rsid w:val="00CE1A36"/>
    <w:rPr>
      <w:rFonts w:ascii="Arial" w:eastAsia="Times New Roman" w:hAnsi="Arial" w:cs="Arial"/>
      <w:sz w:val="24"/>
      <w:szCs w:val="24"/>
      <w:lang w:eastAsia="de-DE"/>
    </w:rPr>
  </w:style>
  <w:style w:type="paragraph" w:styleId="Kopfzeile">
    <w:name w:val="header"/>
    <w:basedOn w:val="Standard"/>
    <w:link w:val="KopfzeileZchn"/>
    <w:uiPriority w:val="99"/>
    <w:unhideWhenUsed/>
    <w:rsid w:val="00E60C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CC0"/>
  </w:style>
  <w:style w:type="paragraph" w:styleId="Fuzeile">
    <w:name w:val="footer"/>
    <w:basedOn w:val="Standard"/>
    <w:link w:val="FuzeileZchn"/>
    <w:uiPriority w:val="99"/>
    <w:unhideWhenUsed/>
    <w:rsid w:val="00E60C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Brodner</dc:creator>
  <cp:keywords/>
  <dc:description/>
  <cp:lastModifiedBy>Stefan Brodner</cp:lastModifiedBy>
  <cp:revision>3</cp:revision>
  <dcterms:created xsi:type="dcterms:W3CDTF">2016-02-17T09:41:00Z</dcterms:created>
  <dcterms:modified xsi:type="dcterms:W3CDTF">2016-02-17T09:50:00Z</dcterms:modified>
</cp:coreProperties>
</file>